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Default="0093537B" w:rsidP="002758B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ZD型混凝设备</w:t>
      </w:r>
      <w:r w:rsidR="002758BB">
        <w:rPr>
          <w:rFonts w:ascii="宋体" w:hAnsi="宋体" w:hint="eastAsia"/>
          <w:b/>
          <w:sz w:val="32"/>
          <w:szCs w:val="32"/>
        </w:rPr>
        <w:t>使用说明书</w:t>
      </w:r>
    </w:p>
    <w:p w:rsidR="002758BB" w:rsidRDefault="002758BB" w:rsidP="002758BB">
      <w:pPr>
        <w:numPr>
          <w:ilvl w:val="0"/>
          <w:numId w:val="1"/>
        </w:numPr>
        <w:spacing w:line="72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混凝剂的种类</w:t>
      </w:r>
    </w:p>
    <w:p w:rsidR="002758BB" w:rsidRDefault="002758BB" w:rsidP="002758BB">
      <w:pPr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常用的混凝剂有铁盐混凝剂 [硫酸亚铁（FeSO</w:t>
      </w:r>
      <w:r>
        <w:rPr>
          <w:rFonts w:ascii="楷体_GB2312" w:eastAsia="楷体_GB2312" w:hint="eastAsia"/>
          <w:sz w:val="24"/>
          <w:vertAlign w:val="subscript"/>
        </w:rPr>
        <w:t>4</w:t>
      </w:r>
      <w:r>
        <w:rPr>
          <w:rFonts w:ascii="楷体_GB2312" w:eastAsia="楷体_GB2312" w:hint="eastAsia"/>
          <w:sz w:val="24"/>
        </w:rPr>
        <w:t>·7H</w:t>
      </w:r>
      <w:r>
        <w:rPr>
          <w:rFonts w:ascii="楷体_GB2312" w:eastAsia="楷体_GB2312" w:hint="eastAsia"/>
          <w:sz w:val="24"/>
          <w:vertAlign w:val="subscript"/>
        </w:rPr>
        <w:t>2</w:t>
      </w:r>
      <w:r>
        <w:rPr>
          <w:rFonts w:ascii="楷体_GB2312" w:eastAsia="楷体_GB2312" w:hint="eastAsia"/>
          <w:sz w:val="24"/>
        </w:rPr>
        <w:t>O）、三氯化铁（Fecl</w:t>
      </w:r>
      <w:r>
        <w:rPr>
          <w:rFonts w:ascii="楷体_GB2312" w:eastAsia="楷体_GB2312" w:hint="eastAsia"/>
          <w:sz w:val="24"/>
          <w:vertAlign w:val="subscript"/>
        </w:rPr>
        <w:t>3</w:t>
      </w:r>
      <w:r>
        <w:rPr>
          <w:rFonts w:ascii="楷体_GB2312" w:eastAsia="楷体_GB2312" w:hint="eastAsia"/>
          <w:sz w:val="24"/>
        </w:rPr>
        <w:t>·7H</w:t>
      </w:r>
      <w:r>
        <w:rPr>
          <w:rFonts w:ascii="楷体_GB2312" w:eastAsia="楷体_GB2312" w:hint="eastAsia"/>
          <w:sz w:val="24"/>
          <w:vertAlign w:val="subscript"/>
        </w:rPr>
        <w:t>2</w:t>
      </w:r>
      <w:r>
        <w:rPr>
          <w:rFonts w:ascii="楷体_GB2312" w:eastAsia="楷体_GB2312" w:hint="eastAsia"/>
          <w:sz w:val="24"/>
        </w:rPr>
        <w:t>O）]、铝盐混凝剂{硫酸铝[Al</w:t>
      </w:r>
      <w:r>
        <w:rPr>
          <w:rFonts w:ascii="楷体_GB2312" w:eastAsia="楷体_GB2312" w:hint="eastAsia"/>
          <w:sz w:val="24"/>
          <w:vertAlign w:val="subscript"/>
        </w:rPr>
        <w:t>2</w:t>
      </w:r>
      <w:r>
        <w:rPr>
          <w:rFonts w:ascii="楷体_GB2312" w:eastAsia="楷体_GB2312" w:hint="eastAsia"/>
          <w:sz w:val="24"/>
        </w:rPr>
        <w:t>(SO</w:t>
      </w:r>
      <w:r>
        <w:rPr>
          <w:rFonts w:ascii="楷体_GB2312" w:eastAsia="楷体_GB2312" w:hint="eastAsia"/>
          <w:sz w:val="24"/>
          <w:vertAlign w:val="subscript"/>
        </w:rPr>
        <w:t>4</w:t>
      </w:r>
      <w:r>
        <w:rPr>
          <w:rFonts w:ascii="楷体_GB2312" w:eastAsia="楷体_GB2312" w:hint="eastAsia"/>
          <w:sz w:val="24"/>
        </w:rPr>
        <w:t>)</w:t>
      </w:r>
      <w:r>
        <w:rPr>
          <w:rFonts w:ascii="楷体_GB2312" w:eastAsia="楷体_GB2312" w:hint="eastAsia"/>
          <w:sz w:val="24"/>
          <w:vertAlign w:val="subscript"/>
        </w:rPr>
        <w:t>3</w:t>
      </w:r>
      <w:r>
        <w:rPr>
          <w:rFonts w:ascii="楷体_GB2312" w:eastAsia="楷体_GB2312" w:hint="eastAsia"/>
          <w:sz w:val="24"/>
        </w:rPr>
        <w:t>·K</w:t>
      </w:r>
      <w:r>
        <w:rPr>
          <w:rFonts w:ascii="楷体_GB2312" w:eastAsia="楷体_GB2312" w:hint="eastAsia"/>
          <w:sz w:val="24"/>
          <w:vertAlign w:val="subscript"/>
        </w:rPr>
        <w:t>2</w:t>
      </w:r>
      <w:r>
        <w:rPr>
          <w:rFonts w:ascii="楷体_GB2312" w:eastAsia="楷体_GB2312" w:hint="eastAsia"/>
          <w:sz w:val="24"/>
        </w:rPr>
        <w:t>SO</w:t>
      </w:r>
      <w:r>
        <w:rPr>
          <w:rFonts w:ascii="楷体_GB2312" w:eastAsia="楷体_GB2312" w:hint="eastAsia"/>
          <w:sz w:val="24"/>
          <w:vertAlign w:val="subscript"/>
        </w:rPr>
        <w:t>4</w:t>
      </w:r>
      <w:r>
        <w:rPr>
          <w:rFonts w:ascii="楷体_GB2312" w:eastAsia="楷体_GB2312" w:hint="eastAsia"/>
          <w:sz w:val="24"/>
        </w:rPr>
        <w:t>·18H</w:t>
      </w:r>
      <w:r>
        <w:rPr>
          <w:rFonts w:ascii="楷体_GB2312" w:eastAsia="楷体_GB2312" w:hint="eastAsia"/>
          <w:sz w:val="24"/>
          <w:vertAlign w:val="subscript"/>
        </w:rPr>
        <w:t>2</w:t>
      </w:r>
      <w:r>
        <w:rPr>
          <w:rFonts w:ascii="楷体_GB2312" w:eastAsia="楷体_GB2312" w:hint="eastAsia"/>
          <w:sz w:val="24"/>
        </w:rPr>
        <w:t>O]、碱式氯化铝（PAC）}、合成高分子混凝剂[聚丙烯酰氨（PAM）]。</w:t>
      </w:r>
    </w:p>
    <w:p w:rsidR="002758BB" w:rsidRDefault="002758BB" w:rsidP="002758BB">
      <w:pPr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其中以碱式氯化铝（PAC）的使用成熟、广泛，以下采用碱式氯化铝（PAC）的使用进行说明，其他种类的药剂参考使用。</w:t>
      </w:r>
    </w:p>
    <w:p w:rsidR="002758BB" w:rsidRDefault="002758BB" w:rsidP="002758BB">
      <w:pPr>
        <w:numPr>
          <w:ilvl w:val="0"/>
          <w:numId w:val="1"/>
        </w:numPr>
        <w:spacing w:line="72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混凝剂的投加</w:t>
      </w:r>
    </w:p>
    <w:p w:rsidR="002758BB" w:rsidRDefault="002758BB" w:rsidP="002758BB">
      <w:pPr>
        <w:spacing w:line="360" w:lineRule="auto"/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厂方根据水质情况进行调节，冬春季节水质较好，投加浓度采用5</w:t>
      </w:r>
      <w:r>
        <w:rPr>
          <w:rFonts w:eastAsia="楷体_GB2312"/>
          <w:sz w:val="24"/>
        </w:rPr>
        <w:t>~</w:t>
      </w:r>
      <w:r>
        <w:rPr>
          <w:rFonts w:ascii="楷体_GB2312" w:eastAsia="楷体_GB2312" w:hint="eastAsia"/>
          <w:sz w:val="24"/>
        </w:rPr>
        <w:t>10mg/L，即每吨水投加混凝剂5</w:t>
      </w:r>
      <w:r>
        <w:rPr>
          <w:rFonts w:eastAsia="楷体_GB2312"/>
          <w:sz w:val="24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>
          <w:rPr>
            <w:rFonts w:ascii="楷体_GB2312" w:eastAsia="楷体_GB2312" w:hint="eastAsia"/>
            <w:sz w:val="24"/>
          </w:rPr>
          <w:t>10g</w:t>
        </w:r>
      </w:smartTag>
      <w:r>
        <w:rPr>
          <w:rFonts w:ascii="楷体_GB2312" w:eastAsia="楷体_GB2312" w:hint="eastAsia"/>
          <w:sz w:val="24"/>
        </w:rPr>
        <w:t>，夏秋季节水质较差时，投加浓度采用10</w:t>
      </w:r>
      <w:r>
        <w:rPr>
          <w:rFonts w:eastAsia="楷体_GB2312"/>
          <w:sz w:val="24"/>
        </w:rPr>
        <w:t>~</w:t>
      </w:r>
      <w:r>
        <w:rPr>
          <w:rFonts w:ascii="楷体_GB2312" w:eastAsia="楷体_GB2312" w:hint="eastAsia"/>
          <w:sz w:val="24"/>
        </w:rPr>
        <w:t>50mg/L，即每吨水投加10</w:t>
      </w:r>
      <w:r>
        <w:rPr>
          <w:sz w:val="24"/>
        </w:rPr>
        <w:t>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g"/>
        </w:smartTagPr>
        <w:r>
          <w:rPr>
            <w:rFonts w:ascii="楷体_GB2312" w:eastAsia="楷体_GB2312" w:hint="eastAsia"/>
            <w:sz w:val="24"/>
          </w:rPr>
          <w:t>50g</w:t>
        </w:r>
      </w:smartTag>
      <w:r>
        <w:rPr>
          <w:rFonts w:ascii="楷体_GB2312" w:eastAsia="楷体_GB2312" w:hint="eastAsia"/>
          <w:sz w:val="24"/>
        </w:rPr>
        <w:t>。</w:t>
      </w:r>
      <w:r w:rsidR="0093537B">
        <w:rPr>
          <w:rFonts w:ascii="楷体_GB2312" w:eastAsia="楷体_GB2312" w:hint="eastAsia"/>
          <w:sz w:val="24"/>
        </w:rPr>
        <w:t>用户投加混凝剂过程中可依照我公司技术人员现场调试数据进行,同时应注意记录和整理设备进出水浊度指标资料,确定最佳投加量.</w:t>
      </w:r>
    </w:p>
    <w:p w:rsidR="002758BB" w:rsidRDefault="002758BB" w:rsidP="002758BB">
      <w:pPr>
        <w:numPr>
          <w:ilvl w:val="0"/>
          <w:numId w:val="1"/>
        </w:numPr>
        <w:spacing w:line="72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混凝液的配置</w:t>
      </w:r>
    </w:p>
    <w:p w:rsidR="002758BB" w:rsidRDefault="002758BB" w:rsidP="002758BB">
      <w:pPr>
        <w:numPr>
          <w:ilvl w:val="1"/>
          <w:numId w:val="1"/>
        </w:numPr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混凝剂的投加量为：</w:t>
      </w:r>
    </w:p>
    <w:p w:rsidR="002758BB" w:rsidRDefault="002758BB" w:rsidP="002758BB">
      <w:pPr>
        <w:ind w:left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       W</w:t>
      </w:r>
      <w:r>
        <w:rPr>
          <w:rFonts w:ascii="楷体_GB2312" w:eastAsia="楷体_GB2312" w:hint="eastAsia"/>
          <w:sz w:val="24"/>
          <w:vertAlign w:val="subscript"/>
        </w:rPr>
        <w:t>1</w:t>
      </w:r>
      <w:r>
        <w:rPr>
          <w:rFonts w:ascii="楷体_GB2312" w:eastAsia="楷体_GB2312" w:hint="eastAsia"/>
          <w:sz w:val="24"/>
        </w:rPr>
        <w:t>=Qq/1000</w:t>
      </w:r>
    </w:p>
    <w:p w:rsidR="002758BB" w:rsidRDefault="002758BB" w:rsidP="002758BB">
      <w:pPr>
        <w:tabs>
          <w:tab w:val="center" w:pos="4723"/>
        </w:tabs>
        <w:ind w:left="420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0" style="position:absolute;left:0;text-align:left;z-index:251658240" from="110.25pt,15.6pt" to="162.75pt,15.6pt"/>
        </w:pict>
      </w:r>
      <w:r>
        <w:rPr>
          <w:rFonts w:ascii="楷体_GB2312" w:eastAsia="楷体_GB2312" w:hint="eastAsia"/>
          <w:sz w:val="24"/>
        </w:rPr>
        <w:t xml:space="preserve">   式中：  W</w:t>
      </w:r>
      <w:r>
        <w:rPr>
          <w:rFonts w:ascii="楷体_GB2312" w:eastAsia="楷体_GB2312" w:hint="eastAsia"/>
          <w:sz w:val="24"/>
          <w:vertAlign w:val="subscript"/>
        </w:rPr>
        <w:t>1</w:t>
      </w:r>
      <w:r>
        <w:rPr>
          <w:rFonts w:ascii="楷体_GB2312" w:eastAsia="楷体_GB2312" w:hint="eastAsia"/>
          <w:sz w:val="24"/>
          <w:vertAlign w:val="subscript"/>
        </w:rPr>
        <w:tab/>
      </w:r>
      <w:r>
        <w:rPr>
          <w:rFonts w:ascii="楷体_GB2312" w:eastAsia="楷体_GB2312" w:hint="eastAsia"/>
          <w:sz w:val="24"/>
        </w:rPr>
        <w:t xml:space="preserve">   混凝剂的投加量，kg/h</w:t>
      </w:r>
    </w:p>
    <w:p w:rsidR="002758BB" w:rsidRDefault="002758BB" w:rsidP="002758BB">
      <w:pPr>
        <w:tabs>
          <w:tab w:val="center" w:pos="4723"/>
        </w:tabs>
        <w:ind w:left="420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1" style="position:absolute;left:0;text-align:left;z-index:251658240" from="110.25pt,15.6pt" to="162.75pt,15.6pt"/>
        </w:pict>
      </w:r>
      <w:r>
        <w:rPr>
          <w:rFonts w:ascii="楷体_GB2312" w:eastAsia="楷体_GB2312" w:hint="eastAsia"/>
          <w:sz w:val="24"/>
        </w:rPr>
        <w:t xml:space="preserve">           q               混凝剂的投加浓度，mg/L</w:t>
      </w:r>
    </w:p>
    <w:p w:rsidR="002758BB" w:rsidRDefault="002758BB" w:rsidP="002758BB">
      <w:pPr>
        <w:tabs>
          <w:tab w:val="center" w:pos="4723"/>
        </w:tabs>
        <w:ind w:left="420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2" style="position:absolute;left:0;text-align:left;flip:y;z-index:251658240" from="110.25pt,15.6pt" to="162.75pt,15.6pt"/>
        </w:pict>
      </w:r>
      <w:r>
        <w:rPr>
          <w:rFonts w:ascii="楷体_GB2312" w:eastAsia="楷体_GB2312" w:hint="eastAsia"/>
          <w:sz w:val="24"/>
        </w:rPr>
        <w:t xml:space="preserve">           Q               净水量，m</w:t>
      </w:r>
      <w:r>
        <w:rPr>
          <w:rFonts w:ascii="楷体_GB2312" w:eastAsia="楷体_GB2312" w:hint="eastAsia"/>
          <w:sz w:val="24"/>
          <w:vertAlign w:val="superscript"/>
        </w:rPr>
        <w:t>3</w:t>
      </w:r>
      <w:r>
        <w:rPr>
          <w:rFonts w:ascii="楷体_GB2312" w:eastAsia="楷体_GB2312" w:hint="eastAsia"/>
          <w:sz w:val="24"/>
        </w:rPr>
        <w:t>/h</w:t>
      </w:r>
    </w:p>
    <w:p w:rsidR="002758BB" w:rsidRDefault="002758BB" w:rsidP="002758BB">
      <w:pPr>
        <w:numPr>
          <w:ilvl w:val="1"/>
          <w:numId w:val="1"/>
        </w:numPr>
        <w:tabs>
          <w:tab w:val="center" w:pos="4723"/>
        </w:tabs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混凝剂的配置量为：</w:t>
      </w:r>
    </w:p>
    <w:p w:rsidR="002758BB" w:rsidRDefault="002758BB" w:rsidP="002758BB">
      <w:pPr>
        <w:tabs>
          <w:tab w:val="center" w:pos="4723"/>
        </w:tabs>
        <w:spacing w:line="360" w:lineRule="auto"/>
        <w:ind w:left="420"/>
        <w:rPr>
          <w:rFonts w:ascii="楷体_GB2312" w:eastAsia="楷体_GB2312" w:hint="eastAsia"/>
          <w:sz w:val="24"/>
          <w:vertAlign w:val="subscript"/>
        </w:rPr>
      </w:pPr>
      <w:r>
        <w:rPr>
          <w:rFonts w:ascii="楷体_GB2312" w:eastAsia="楷体_GB2312" w:hint="eastAsia"/>
          <w:sz w:val="24"/>
        </w:rPr>
        <w:t xml:space="preserve">           W</w:t>
      </w:r>
      <w:r>
        <w:rPr>
          <w:rFonts w:ascii="楷体_GB2312" w:eastAsia="楷体_GB2312" w:hint="eastAsia"/>
          <w:sz w:val="24"/>
          <w:vertAlign w:val="subscript"/>
        </w:rPr>
        <w:t>2</w:t>
      </w:r>
      <w:r>
        <w:rPr>
          <w:rFonts w:ascii="楷体_GB2312" w:eastAsia="楷体_GB2312" w:hint="eastAsia"/>
          <w:sz w:val="24"/>
        </w:rPr>
        <w:t>=n W</w:t>
      </w:r>
      <w:r>
        <w:rPr>
          <w:rFonts w:ascii="楷体_GB2312" w:eastAsia="楷体_GB2312" w:hint="eastAsia"/>
          <w:sz w:val="24"/>
          <w:vertAlign w:val="subscript"/>
        </w:rPr>
        <w:t>1</w:t>
      </w:r>
    </w:p>
    <w:p w:rsidR="002758BB" w:rsidRDefault="002758BB" w:rsidP="002758BB">
      <w:pPr>
        <w:tabs>
          <w:tab w:val="center" w:pos="4723"/>
        </w:tabs>
        <w:ind w:left="420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4" style="position:absolute;left:0;text-align:left;z-index:251658240" from="115.5pt,15.6pt" to="168pt,15.6pt"/>
        </w:pict>
      </w:r>
      <w:r>
        <w:rPr>
          <w:rFonts w:ascii="楷体_GB2312" w:eastAsia="楷体_GB2312" w:hint="eastAsia"/>
          <w:sz w:val="24"/>
        </w:rPr>
        <w:t xml:space="preserve">   式中：  W</w:t>
      </w:r>
      <w:r>
        <w:rPr>
          <w:rFonts w:ascii="楷体_GB2312" w:eastAsia="楷体_GB2312" w:hint="eastAsia"/>
          <w:sz w:val="24"/>
          <w:vertAlign w:val="subscript"/>
        </w:rPr>
        <w:t xml:space="preserve">2                             </w:t>
      </w:r>
      <w:r>
        <w:rPr>
          <w:rFonts w:ascii="楷体_GB2312" w:eastAsia="楷体_GB2312" w:hint="eastAsia"/>
          <w:sz w:val="24"/>
        </w:rPr>
        <w:t>混凝剂的配置量，kg</w:t>
      </w:r>
    </w:p>
    <w:p w:rsidR="002758BB" w:rsidRDefault="002758BB" w:rsidP="002758BB">
      <w:pPr>
        <w:tabs>
          <w:tab w:val="center" w:pos="4723"/>
        </w:tabs>
        <w:ind w:left="420"/>
        <w:rPr>
          <w:rFonts w:ascii="楷体_GB2312" w:eastAsia="楷体_GB2312" w:hint="eastAsia"/>
          <w:sz w:val="24"/>
        </w:rPr>
      </w:pPr>
      <w:r>
        <w:rPr>
          <w:rFonts w:hint="eastAsia"/>
        </w:rPr>
        <w:lastRenderedPageBreak/>
        <w:pict>
          <v:line id="_x0000_s2053" style="position:absolute;left:0;text-align:left;z-index:251658240" from="120.75pt,15.6pt" to="168pt,15.6pt"/>
        </w:pict>
      </w:r>
      <w:r>
        <w:rPr>
          <w:rFonts w:ascii="楷体_GB2312" w:eastAsia="楷体_GB2312" w:hint="eastAsia"/>
          <w:sz w:val="24"/>
        </w:rPr>
        <w:t xml:space="preserve">           W</w:t>
      </w:r>
      <w:r>
        <w:rPr>
          <w:rFonts w:ascii="楷体_GB2312" w:eastAsia="楷体_GB2312" w:hint="eastAsia"/>
          <w:sz w:val="24"/>
          <w:vertAlign w:val="subscript"/>
        </w:rPr>
        <w:t>1</w:t>
      </w:r>
      <w:r>
        <w:rPr>
          <w:rFonts w:ascii="楷体_GB2312" w:eastAsia="楷体_GB2312" w:hint="eastAsia"/>
          <w:sz w:val="24"/>
        </w:rPr>
        <w:t xml:space="preserve">               混凝剂的投加浓度，mg/L</w:t>
      </w:r>
    </w:p>
    <w:p w:rsidR="002758BB" w:rsidRDefault="002758BB" w:rsidP="002758BB">
      <w:pPr>
        <w:tabs>
          <w:tab w:val="left" w:pos="3690"/>
        </w:tabs>
        <w:ind w:left="420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5" style="position:absolute;left:0;text-align:left;z-index:251658240" from="120.75pt,15.6pt" to="173.25pt,15.6pt"/>
        </w:pict>
      </w:r>
      <w:r>
        <w:rPr>
          <w:rFonts w:ascii="楷体_GB2312" w:eastAsia="楷体_GB2312" w:hint="eastAsia"/>
          <w:sz w:val="24"/>
        </w:rPr>
        <w:t xml:space="preserve">           n</w:t>
      </w:r>
      <w:r>
        <w:rPr>
          <w:rFonts w:ascii="楷体_GB2312" w:eastAsia="楷体_GB2312" w:hint="eastAsia"/>
          <w:sz w:val="24"/>
        </w:rPr>
        <w:tab/>
        <w:t>一次配置的混凝液使用时间，h</w:t>
      </w:r>
    </w:p>
    <w:p w:rsidR="002758BB" w:rsidRDefault="002758BB" w:rsidP="002758BB">
      <w:pPr>
        <w:numPr>
          <w:ilvl w:val="1"/>
          <w:numId w:val="1"/>
        </w:numPr>
        <w:tabs>
          <w:tab w:val="left" w:pos="3690"/>
        </w:tabs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混凝液配置的加水量</w:t>
      </w:r>
    </w:p>
    <w:p w:rsidR="002758BB" w:rsidRDefault="002758BB" w:rsidP="002758BB">
      <w:pPr>
        <w:tabs>
          <w:tab w:val="left" w:pos="3690"/>
        </w:tabs>
        <w:spacing w:line="360" w:lineRule="auto"/>
        <w:ind w:left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        W</w:t>
      </w:r>
      <w:r>
        <w:rPr>
          <w:rFonts w:ascii="楷体_GB2312" w:eastAsia="楷体_GB2312" w:hint="eastAsia"/>
          <w:sz w:val="24"/>
          <w:vertAlign w:val="subscript"/>
        </w:rPr>
        <w:t>3</w:t>
      </w:r>
      <w:r>
        <w:rPr>
          <w:rFonts w:ascii="楷体_GB2312" w:eastAsia="楷体_GB2312" w:hint="eastAsia"/>
          <w:sz w:val="24"/>
        </w:rPr>
        <w:t>=nQ</w:t>
      </w:r>
      <w:r>
        <w:rPr>
          <w:rFonts w:ascii="楷体_GB2312" w:eastAsia="楷体_GB2312" w:hint="eastAsia"/>
          <w:sz w:val="24"/>
          <w:vertAlign w:val="subscript"/>
        </w:rPr>
        <w:t>1</w:t>
      </w:r>
    </w:p>
    <w:p w:rsidR="002758BB" w:rsidRDefault="002758BB" w:rsidP="002758BB">
      <w:pPr>
        <w:tabs>
          <w:tab w:val="left" w:pos="3690"/>
        </w:tabs>
        <w:spacing w:line="360" w:lineRule="auto"/>
        <w:ind w:firstLineChars="300" w:firstLine="630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6" style="position:absolute;left:0;text-align:left;z-index:251658240" from="131.25pt,15.6pt" to="173.25pt,15.6pt"/>
        </w:pict>
      </w:r>
      <w:r>
        <w:rPr>
          <w:rFonts w:ascii="楷体_GB2312" w:eastAsia="楷体_GB2312" w:hint="eastAsia"/>
          <w:sz w:val="24"/>
        </w:rPr>
        <w:t>式中：  W</w:t>
      </w:r>
      <w:r>
        <w:rPr>
          <w:rFonts w:ascii="楷体_GB2312" w:eastAsia="楷体_GB2312" w:hint="eastAsia"/>
          <w:sz w:val="24"/>
          <w:vertAlign w:val="subscript"/>
        </w:rPr>
        <w:t>3</w:t>
      </w:r>
      <w:r>
        <w:rPr>
          <w:rFonts w:ascii="楷体_GB2312" w:eastAsia="楷体_GB2312" w:hint="eastAsia"/>
          <w:sz w:val="24"/>
        </w:rPr>
        <w:t xml:space="preserve">               混凝液配置的加水量，L</w:t>
      </w:r>
    </w:p>
    <w:p w:rsidR="002758BB" w:rsidRDefault="002758BB" w:rsidP="002758BB">
      <w:pPr>
        <w:tabs>
          <w:tab w:val="left" w:pos="3690"/>
        </w:tabs>
        <w:spacing w:line="360" w:lineRule="auto"/>
        <w:ind w:left="420" w:firstLine="795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7" style="position:absolute;left:0;text-align:left;z-index:251658240" from="131.25pt,15.6pt" to="173.25pt,15.6pt"/>
        </w:pict>
      </w:r>
      <w:r>
        <w:rPr>
          <w:rFonts w:ascii="楷体_GB2312" w:eastAsia="楷体_GB2312" w:hint="eastAsia"/>
          <w:sz w:val="24"/>
        </w:rPr>
        <w:t xml:space="preserve">       n            一次配置的混凝液使用时间，h</w:t>
      </w:r>
    </w:p>
    <w:p w:rsidR="002758BB" w:rsidRDefault="002758BB" w:rsidP="002758BB">
      <w:pPr>
        <w:tabs>
          <w:tab w:val="left" w:pos="3690"/>
        </w:tabs>
        <w:spacing w:line="360" w:lineRule="auto"/>
        <w:ind w:left="420" w:firstLine="795"/>
        <w:rPr>
          <w:rFonts w:ascii="楷体_GB2312" w:eastAsia="楷体_GB2312" w:hint="eastAsia"/>
          <w:sz w:val="24"/>
        </w:rPr>
      </w:pPr>
      <w:r>
        <w:rPr>
          <w:rFonts w:hint="eastAsia"/>
        </w:rPr>
        <w:pict>
          <v:line id="_x0000_s2058" style="position:absolute;left:0;text-align:left;z-index:251658240" from="131.25pt,15.6pt" to="173.25pt,15.6pt"/>
        </w:pict>
      </w:r>
      <w:r>
        <w:rPr>
          <w:rFonts w:ascii="楷体_GB2312" w:eastAsia="楷体_GB2312" w:hint="eastAsia"/>
          <w:sz w:val="24"/>
        </w:rPr>
        <w:t xml:space="preserve">       Q</w:t>
      </w:r>
      <w:r>
        <w:rPr>
          <w:rFonts w:ascii="楷体_GB2312" w:eastAsia="楷体_GB2312" w:hint="eastAsia"/>
          <w:sz w:val="24"/>
          <w:vertAlign w:val="subscript"/>
        </w:rPr>
        <w:t>1</w:t>
      </w:r>
      <w:r>
        <w:rPr>
          <w:rFonts w:ascii="楷体_GB2312" w:eastAsia="楷体_GB2312" w:hint="eastAsia"/>
          <w:sz w:val="24"/>
        </w:rPr>
        <w:t xml:space="preserve">           计量泵的流量，L/h</w:t>
      </w:r>
    </w:p>
    <w:p w:rsidR="002758BB" w:rsidRDefault="002758BB" w:rsidP="002758BB">
      <w:pPr>
        <w:tabs>
          <w:tab w:val="left" w:pos="3690"/>
        </w:tabs>
        <w:spacing w:line="72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四、混凝剂的搅拌</w:t>
      </w:r>
    </w:p>
    <w:p w:rsidR="002758BB" w:rsidRDefault="002758BB" w:rsidP="002758BB">
      <w:pPr>
        <w:tabs>
          <w:tab w:val="left" w:pos="3690"/>
        </w:tabs>
        <w:spacing w:line="360" w:lineRule="auto"/>
        <w:ind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启动混凝剂投加设备的搅拌电动机，搅拌8~10分钟，搅拌均匀后，停止搅拌。</w:t>
      </w:r>
    </w:p>
    <w:p w:rsidR="002758BB" w:rsidRDefault="002758BB" w:rsidP="002758BB">
      <w:pPr>
        <w:tabs>
          <w:tab w:val="left" w:pos="3690"/>
        </w:tabs>
        <w:spacing w:line="72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五、混凝剂的投加</w:t>
      </w:r>
    </w:p>
    <w:p w:rsidR="002758BB" w:rsidRDefault="002758BB" w:rsidP="002758BB">
      <w:pPr>
        <w:tabs>
          <w:tab w:val="left" w:pos="3690"/>
        </w:tabs>
        <w:spacing w:line="360" w:lineRule="auto"/>
        <w:ind w:firstLineChars="150" w:firstLine="36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启动计量泵，将流量调节到Q</w:t>
      </w:r>
      <w:r>
        <w:rPr>
          <w:rFonts w:ascii="楷体_GB2312" w:eastAsia="楷体_GB2312" w:hint="eastAsia"/>
          <w:sz w:val="24"/>
          <w:vertAlign w:val="subscript"/>
        </w:rPr>
        <w:t>1</w:t>
      </w:r>
      <w:r>
        <w:rPr>
          <w:rFonts w:ascii="楷体_GB2312" w:eastAsia="楷体_GB2312" w:hint="eastAsia"/>
          <w:sz w:val="24"/>
        </w:rPr>
        <w:t>，打开混凝剂投加阀，开始投加混凝剂。</w:t>
      </w:r>
    </w:p>
    <w:p w:rsidR="002758BB" w:rsidRDefault="002758BB" w:rsidP="002758BB">
      <w:pPr>
        <w:tabs>
          <w:tab w:val="left" w:pos="3690"/>
        </w:tabs>
        <w:spacing w:line="72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六、注意事项</w:t>
      </w:r>
    </w:p>
    <w:p w:rsidR="002758BB" w:rsidRDefault="002758BB" w:rsidP="002758BB">
      <w:pPr>
        <w:tabs>
          <w:tab w:val="left" w:pos="3690"/>
        </w:tabs>
        <w:spacing w:line="360" w:lineRule="auto"/>
        <w:ind w:left="42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1. </w:t>
      </w:r>
      <w:r>
        <w:rPr>
          <w:rFonts w:ascii="楷体_GB2312" w:eastAsia="楷体_GB2312" w:hint="eastAsia"/>
          <w:sz w:val="24"/>
        </w:rPr>
        <w:t>厂方根据不同时间的水质情况，调节混凝剂用量，并记录投加量，绘制曲线。</w:t>
      </w:r>
    </w:p>
    <w:p w:rsidR="002758BB" w:rsidRDefault="002758BB" w:rsidP="002758BB">
      <w:pPr>
        <w:tabs>
          <w:tab w:val="left" w:pos="3690"/>
        </w:tabs>
        <w:spacing w:line="360" w:lineRule="auto"/>
        <w:ind w:left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 混凝剂投加设备使用一段时间后，应注意排出设备中的混凝剂沉渣，对设备进行清洗。</w:t>
      </w:r>
    </w:p>
    <w:p w:rsidR="002758BB" w:rsidRDefault="002758BB" w:rsidP="002758BB">
      <w:pPr>
        <w:tabs>
          <w:tab w:val="left" w:pos="3690"/>
        </w:tabs>
        <w:spacing w:line="360" w:lineRule="auto"/>
        <w:ind w:left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3. 做好加药室的清洁和通风工作。</w:t>
      </w:r>
    </w:p>
    <w:p w:rsidR="002758BB" w:rsidRDefault="002758BB" w:rsidP="002758BB">
      <w:pPr>
        <w:numPr>
          <w:ilvl w:val="1"/>
          <w:numId w:val="1"/>
        </w:numPr>
        <w:tabs>
          <w:tab w:val="left" w:pos="3690"/>
        </w:tabs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贮存药剂应注意药剂的防潮工作。</w:t>
      </w:r>
    </w:p>
    <w:p w:rsidR="002758BB" w:rsidRDefault="002758BB" w:rsidP="002758BB">
      <w:pPr>
        <w:numPr>
          <w:ilvl w:val="1"/>
          <w:numId w:val="1"/>
        </w:numPr>
        <w:tabs>
          <w:tab w:val="left" w:pos="3690"/>
        </w:tabs>
        <w:spacing w:line="360" w:lineRule="auto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加药设备长期不用时应清空设备内的药剂，清洗设备内部。</w:t>
      </w:r>
    </w:p>
    <w:p w:rsidR="00911655" w:rsidRPr="0093537B" w:rsidRDefault="002758BB" w:rsidP="0093537B">
      <w:pPr>
        <w:numPr>
          <w:ilvl w:val="1"/>
          <w:numId w:val="1"/>
        </w:numPr>
        <w:tabs>
          <w:tab w:val="left" w:pos="3690"/>
        </w:tabs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药剂长时间存放后，需检验合格才能继续使用</w:t>
      </w:r>
      <w:r w:rsidR="0093537B">
        <w:rPr>
          <w:rFonts w:ascii="楷体_GB2312" w:eastAsia="楷体_GB2312" w:hint="eastAsia"/>
          <w:sz w:val="24"/>
        </w:rPr>
        <w:t>.</w:t>
      </w:r>
    </w:p>
    <w:sectPr w:rsidR="00911655" w:rsidRPr="00935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55" w:rsidRDefault="00911655" w:rsidP="002758BB">
      <w:r>
        <w:separator/>
      </w:r>
    </w:p>
  </w:endnote>
  <w:endnote w:type="continuationSeparator" w:id="1">
    <w:p w:rsidR="00911655" w:rsidRDefault="00911655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55" w:rsidRDefault="00911655" w:rsidP="002758BB">
      <w:r>
        <w:separator/>
      </w:r>
    </w:p>
  </w:footnote>
  <w:footnote w:type="continuationSeparator" w:id="1">
    <w:p w:rsidR="00911655" w:rsidRDefault="00911655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2758BB"/>
    <w:rsid w:val="00911655"/>
    <w:rsid w:val="0093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4</cp:revision>
  <dcterms:created xsi:type="dcterms:W3CDTF">2009-05-17T00:33:00Z</dcterms:created>
  <dcterms:modified xsi:type="dcterms:W3CDTF">2009-05-17T00:35:00Z</dcterms:modified>
</cp:coreProperties>
</file>